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84BE" w14:textId="77777777" w:rsidR="00966ACD" w:rsidRPr="00966ACD" w:rsidRDefault="00966ACD" w:rsidP="00966ACD">
      <w:pPr>
        <w:shd w:val="clear" w:color="auto" w:fill="FFFFFF"/>
        <w:spacing w:after="0" w:line="240" w:lineRule="auto"/>
        <w:rPr>
          <w:rFonts w:ascii="Calibri" w:eastAsia="Times New Roman" w:hAnsi="Calibri" w:cs="Calibri"/>
          <w:color w:val="323130"/>
          <w:lang w:val="en-US" w:eastAsia="nl-NL"/>
        </w:rPr>
      </w:pPr>
      <w:r w:rsidRPr="00966ACD">
        <w:rPr>
          <w:rFonts w:ascii="Calibri" w:eastAsia="Times New Roman" w:hAnsi="Calibri" w:cs="Calibri"/>
          <w:color w:val="323130"/>
          <w:lang w:val="en-US" w:eastAsia="nl-NL"/>
        </w:rPr>
        <w:t> </w:t>
      </w:r>
    </w:p>
    <w:p w14:paraId="0FEE352F" w14:textId="77777777" w:rsidR="00966ACD" w:rsidRPr="00966ACD" w:rsidRDefault="00966ACD" w:rsidP="00966ACD">
      <w:pPr>
        <w:shd w:val="clear" w:color="auto" w:fill="FFFFFF"/>
        <w:spacing w:after="0" w:line="240" w:lineRule="auto"/>
        <w:rPr>
          <w:rFonts w:ascii="Calibri" w:eastAsia="Times New Roman" w:hAnsi="Calibri" w:cs="Calibri"/>
          <w:color w:val="323130"/>
          <w:lang w:val="en-US" w:eastAsia="nl-NL"/>
        </w:rPr>
      </w:pPr>
      <w:r w:rsidRPr="00966ACD">
        <w:rPr>
          <w:noProof/>
        </w:rPr>
        <w:drawing>
          <wp:inline distT="0" distB="0" distL="0" distR="0" wp14:anchorId="750E7652" wp14:editId="46DE1928">
            <wp:extent cx="1074420" cy="403860"/>
            <wp:effectExtent l="0" t="0" r="0" b="0"/>
            <wp:docPr id="3" name="Afbeelding 3" descr="C:\Users\PBouman\AppData\Local\Microsoft\Windows\INetCache\Content.MSO\E23F28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ouman\AppData\Local\Microsoft\Windows\INetCache\Content.MSO\E23F28F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403860"/>
                    </a:xfrm>
                    <a:prstGeom prst="rect">
                      <a:avLst/>
                    </a:prstGeom>
                    <a:noFill/>
                    <a:ln>
                      <a:noFill/>
                    </a:ln>
                  </pic:spPr>
                </pic:pic>
              </a:graphicData>
            </a:graphic>
          </wp:inline>
        </w:drawing>
      </w:r>
      <w:r w:rsidRPr="00966ACD">
        <w:rPr>
          <w:rFonts w:ascii="Century Gothic" w:eastAsia="Times New Roman" w:hAnsi="Century Gothic" w:cs="Calibri"/>
          <w:color w:val="323130"/>
          <w:sz w:val="20"/>
          <w:szCs w:val="20"/>
          <w:bdr w:val="none" w:sz="0" w:space="0" w:color="auto" w:frame="1"/>
          <w:lang w:val="en-GB" w:eastAsia="nl-NL"/>
        </w:rPr>
        <w:t>   </w:t>
      </w:r>
      <w:r w:rsidRPr="00966ACD">
        <w:rPr>
          <w:noProof/>
        </w:rPr>
        <w:drawing>
          <wp:inline distT="0" distB="0" distL="0" distR="0" wp14:anchorId="5177E6A0" wp14:editId="7FD772D2">
            <wp:extent cx="4183380" cy="1798320"/>
            <wp:effectExtent l="0" t="0" r="7620" b="0"/>
            <wp:docPr id="2" name="Afbeelding 2" descr="C:\Users\PBouman\AppData\Local\Microsoft\Windows\INetCache\Content.MSO\71B7B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ouman\AppData\Local\Microsoft\Windows\INetCache\Content.MSO\71B7BC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3380" cy="1798320"/>
                    </a:xfrm>
                    <a:prstGeom prst="rect">
                      <a:avLst/>
                    </a:prstGeom>
                    <a:noFill/>
                    <a:ln>
                      <a:noFill/>
                    </a:ln>
                  </pic:spPr>
                </pic:pic>
              </a:graphicData>
            </a:graphic>
          </wp:inline>
        </w:drawing>
      </w:r>
    </w:p>
    <w:p w14:paraId="407AFC7A" w14:textId="77777777" w:rsidR="00966ACD" w:rsidRPr="00966ACD" w:rsidRDefault="00966ACD" w:rsidP="00966ACD">
      <w:pPr>
        <w:shd w:val="clear" w:color="auto" w:fill="FFFFFF"/>
        <w:spacing w:after="0" w:line="240" w:lineRule="auto"/>
        <w:rPr>
          <w:rFonts w:ascii="Calibri" w:eastAsia="Times New Roman" w:hAnsi="Calibri" w:cs="Calibri"/>
          <w:color w:val="323130"/>
          <w:lang w:val="en-US" w:eastAsia="nl-NL"/>
        </w:rPr>
      </w:pPr>
      <w:r w:rsidRPr="00966ACD">
        <w:rPr>
          <w:rFonts w:ascii="Century Gothic" w:eastAsia="Times New Roman" w:hAnsi="Century Gothic" w:cs="Calibri"/>
          <w:color w:val="323130"/>
          <w:sz w:val="20"/>
          <w:szCs w:val="20"/>
          <w:bdr w:val="none" w:sz="0" w:space="0" w:color="auto" w:frame="1"/>
          <w:lang w:val="en-GB" w:eastAsia="nl-NL"/>
        </w:rPr>
        <w:t> </w:t>
      </w:r>
    </w:p>
    <w:p w14:paraId="4934BB32" w14:textId="77777777" w:rsidR="00966ACD" w:rsidRPr="00966ACD" w:rsidRDefault="00966ACD" w:rsidP="00966ACD">
      <w:pPr>
        <w:shd w:val="clear" w:color="auto" w:fill="FFFFFF"/>
        <w:spacing w:after="0" w:line="240" w:lineRule="auto"/>
        <w:rPr>
          <w:rFonts w:ascii="Calibri" w:eastAsia="Times New Roman" w:hAnsi="Calibri" w:cs="Calibri"/>
          <w:color w:val="323130"/>
          <w:lang w:val="en-US" w:eastAsia="nl-NL"/>
        </w:rPr>
      </w:pPr>
      <w:r w:rsidRPr="00966ACD">
        <w:rPr>
          <w:rFonts w:ascii="Century Gothic" w:eastAsia="Times New Roman" w:hAnsi="Century Gothic" w:cs="Calibri"/>
          <w:b/>
          <w:bCs/>
          <w:color w:val="FF0000"/>
          <w:sz w:val="24"/>
          <w:szCs w:val="24"/>
          <w:bdr w:val="none" w:sz="0" w:space="0" w:color="auto" w:frame="1"/>
          <w:lang w:val="en-GB" w:eastAsia="nl-NL"/>
        </w:rPr>
        <w:t>The Publicity Company</w:t>
      </w:r>
    </w:p>
    <w:p w14:paraId="06FE5611" w14:textId="77777777" w:rsidR="00966ACD" w:rsidRPr="00966ACD" w:rsidRDefault="00966ACD" w:rsidP="00966ACD">
      <w:pPr>
        <w:shd w:val="clear" w:color="auto" w:fill="FFFFFF"/>
        <w:spacing w:after="0" w:line="240" w:lineRule="auto"/>
        <w:rPr>
          <w:rFonts w:ascii="Calibri" w:eastAsia="Times New Roman" w:hAnsi="Calibri" w:cs="Calibri"/>
          <w:color w:val="323130"/>
          <w:lang w:val="en-US" w:eastAsia="nl-NL"/>
        </w:rPr>
      </w:pPr>
      <w:r w:rsidRPr="00966ACD">
        <w:rPr>
          <w:rFonts w:ascii="Century Gothic" w:eastAsia="Times New Roman" w:hAnsi="Century Gothic" w:cs="Calibri"/>
          <w:color w:val="323130"/>
          <w:sz w:val="20"/>
          <w:szCs w:val="20"/>
          <w:bdr w:val="none" w:sz="0" w:space="0" w:color="auto" w:frame="1"/>
          <w:lang w:val="en-GB" w:eastAsia="nl-NL"/>
        </w:rPr>
        <w:t xml:space="preserve">PERSBERICHT </w:t>
      </w:r>
      <w:proofErr w:type="spellStart"/>
      <w:r w:rsidRPr="00966ACD">
        <w:rPr>
          <w:rFonts w:ascii="Century Gothic" w:eastAsia="Times New Roman" w:hAnsi="Century Gothic" w:cs="Calibri"/>
          <w:color w:val="323130"/>
          <w:sz w:val="20"/>
          <w:szCs w:val="20"/>
          <w:bdr w:val="none" w:sz="0" w:space="0" w:color="auto" w:frame="1"/>
          <w:lang w:val="en-GB" w:eastAsia="nl-NL"/>
        </w:rPr>
        <w:t>februari</w:t>
      </w:r>
      <w:proofErr w:type="spellEnd"/>
      <w:r w:rsidRPr="00966ACD">
        <w:rPr>
          <w:rFonts w:ascii="Century Gothic" w:eastAsia="Times New Roman" w:hAnsi="Century Gothic" w:cs="Calibri"/>
          <w:color w:val="323130"/>
          <w:sz w:val="20"/>
          <w:szCs w:val="20"/>
          <w:bdr w:val="none" w:sz="0" w:space="0" w:color="auto" w:frame="1"/>
          <w:lang w:val="en-GB" w:eastAsia="nl-NL"/>
        </w:rPr>
        <w:t xml:space="preserve"> 2020</w:t>
      </w:r>
    </w:p>
    <w:p w14:paraId="6638890A" w14:textId="77777777" w:rsidR="00966ACD" w:rsidRPr="00966ACD" w:rsidRDefault="00966ACD" w:rsidP="00966ACD">
      <w:pPr>
        <w:shd w:val="clear" w:color="auto" w:fill="FFFFFF"/>
        <w:spacing w:after="0" w:line="240" w:lineRule="auto"/>
        <w:rPr>
          <w:rFonts w:ascii="Calibri" w:eastAsia="Times New Roman" w:hAnsi="Calibri" w:cs="Calibri"/>
          <w:color w:val="323130"/>
          <w:lang w:val="en-US" w:eastAsia="nl-NL"/>
        </w:rPr>
      </w:pPr>
      <w:r w:rsidRPr="00966ACD">
        <w:rPr>
          <w:rFonts w:ascii="Century Gothic" w:eastAsia="Times New Roman" w:hAnsi="Century Gothic" w:cs="Calibri"/>
          <w:color w:val="323130"/>
          <w:sz w:val="20"/>
          <w:szCs w:val="20"/>
          <w:bdr w:val="none" w:sz="0" w:space="0" w:color="auto" w:frame="1"/>
          <w:lang w:val="en-GB" w:eastAsia="nl-NL"/>
        </w:rPr>
        <w:t> </w:t>
      </w:r>
    </w:p>
    <w:p w14:paraId="21EE2DAF"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b/>
          <w:bCs/>
          <w:color w:val="323130"/>
          <w:sz w:val="28"/>
          <w:szCs w:val="28"/>
          <w:bdr w:val="none" w:sz="0" w:space="0" w:color="auto" w:frame="1"/>
          <w:lang w:eastAsia="nl-NL"/>
        </w:rPr>
        <w:t>Getekend. Persoonlijke verhalen van de Japanse bezetting</w:t>
      </w:r>
    </w:p>
    <w:p w14:paraId="495B5F60"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b/>
          <w:bCs/>
          <w:color w:val="002060"/>
          <w:sz w:val="24"/>
          <w:szCs w:val="24"/>
          <w:bdr w:val="none" w:sz="0" w:space="0" w:color="auto" w:frame="1"/>
          <w:lang w:eastAsia="nl-NL"/>
        </w:rPr>
        <w:t xml:space="preserve">Aangrijpende tentoonstelling van 1 maart t/m 1 november in </w:t>
      </w:r>
      <w:proofErr w:type="spellStart"/>
      <w:r w:rsidRPr="00966ACD">
        <w:rPr>
          <w:rFonts w:ascii="Century Gothic" w:eastAsia="Times New Roman" w:hAnsi="Century Gothic" w:cs="Calibri"/>
          <w:b/>
          <w:bCs/>
          <w:color w:val="002060"/>
          <w:sz w:val="24"/>
          <w:szCs w:val="24"/>
          <w:bdr w:val="none" w:sz="0" w:space="0" w:color="auto" w:frame="1"/>
          <w:lang w:eastAsia="nl-NL"/>
        </w:rPr>
        <w:t>Museon</w:t>
      </w:r>
      <w:proofErr w:type="spellEnd"/>
    </w:p>
    <w:p w14:paraId="5166C6AE"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color w:val="323130"/>
          <w:sz w:val="20"/>
          <w:szCs w:val="20"/>
          <w:bdr w:val="none" w:sz="0" w:space="0" w:color="auto" w:frame="1"/>
          <w:lang w:eastAsia="nl-NL"/>
        </w:rPr>
        <w:t> </w:t>
      </w:r>
    </w:p>
    <w:p w14:paraId="6EE0F51F"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b/>
          <w:bCs/>
          <w:color w:val="323130"/>
          <w:sz w:val="20"/>
          <w:szCs w:val="20"/>
          <w:bdr w:val="none" w:sz="0" w:space="0" w:color="auto" w:frame="1"/>
          <w:lang w:eastAsia="nl-NL"/>
        </w:rPr>
        <w:t xml:space="preserve">Van 1 maart t/m 1 november in het Haagse museum </w:t>
      </w:r>
      <w:proofErr w:type="spellStart"/>
      <w:r w:rsidRPr="00966ACD">
        <w:rPr>
          <w:rFonts w:ascii="Century Gothic" w:eastAsia="Times New Roman" w:hAnsi="Century Gothic" w:cs="Calibri"/>
          <w:b/>
          <w:bCs/>
          <w:color w:val="323130"/>
          <w:sz w:val="20"/>
          <w:szCs w:val="20"/>
          <w:bdr w:val="none" w:sz="0" w:space="0" w:color="auto" w:frame="1"/>
          <w:lang w:eastAsia="nl-NL"/>
        </w:rPr>
        <w:t>Museon</w:t>
      </w:r>
      <w:proofErr w:type="spellEnd"/>
      <w:r w:rsidRPr="00966ACD">
        <w:rPr>
          <w:rFonts w:ascii="Century Gothic" w:eastAsia="Times New Roman" w:hAnsi="Century Gothic" w:cs="Calibri"/>
          <w:b/>
          <w:bCs/>
          <w:color w:val="323130"/>
          <w:sz w:val="20"/>
          <w:szCs w:val="20"/>
          <w:bdr w:val="none" w:sz="0" w:space="0" w:color="auto" w:frame="1"/>
          <w:lang w:eastAsia="nl-NL"/>
        </w:rPr>
        <w:t>: </w:t>
      </w:r>
      <w:r w:rsidRPr="00966ACD">
        <w:rPr>
          <w:rFonts w:ascii="Century Gothic" w:eastAsia="Times New Roman" w:hAnsi="Century Gothic" w:cs="Calibri"/>
          <w:b/>
          <w:bCs/>
          <w:i/>
          <w:iCs/>
          <w:color w:val="323130"/>
          <w:sz w:val="20"/>
          <w:szCs w:val="20"/>
          <w:bdr w:val="none" w:sz="0" w:space="0" w:color="auto" w:frame="1"/>
          <w:lang w:eastAsia="nl-NL"/>
        </w:rPr>
        <w:t>Getekend. Persoonlijke verhalen over de Japanse bezetting</w:t>
      </w:r>
      <w:r w:rsidRPr="00966ACD">
        <w:rPr>
          <w:rFonts w:ascii="Century Gothic" w:eastAsia="Times New Roman" w:hAnsi="Century Gothic" w:cs="Calibri"/>
          <w:b/>
          <w:bCs/>
          <w:color w:val="323130"/>
          <w:sz w:val="20"/>
          <w:szCs w:val="20"/>
          <w:bdr w:val="none" w:sz="0" w:space="0" w:color="auto" w:frame="1"/>
          <w:lang w:eastAsia="nl-NL"/>
        </w:rPr>
        <w:t>. De toegankelijke en aangrijpende tentoonstelling geeft een indrukwekkend beeld van de bezetting van Nederlands-Indië door voorwerpen en tekeningen te verbinden met fragmenten uit dagboeken, brieven en memoires</w:t>
      </w:r>
      <w:r w:rsidRPr="00966ACD">
        <w:rPr>
          <w:rFonts w:ascii="Century Gothic" w:eastAsia="Times New Roman" w:hAnsi="Century Gothic" w:cs="Calibri"/>
          <w:color w:val="323130"/>
          <w:sz w:val="20"/>
          <w:szCs w:val="20"/>
          <w:bdr w:val="none" w:sz="0" w:space="0" w:color="auto" w:frame="1"/>
          <w:lang w:eastAsia="nl-NL"/>
        </w:rPr>
        <w:t>.</w:t>
      </w:r>
    </w:p>
    <w:p w14:paraId="4728A664"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color w:val="323130"/>
          <w:sz w:val="20"/>
          <w:szCs w:val="20"/>
          <w:bdr w:val="none" w:sz="0" w:space="0" w:color="auto" w:frame="1"/>
          <w:lang w:eastAsia="nl-NL"/>
        </w:rPr>
        <w:t> </w:t>
      </w:r>
    </w:p>
    <w:p w14:paraId="7D84152E"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color w:val="323130"/>
          <w:sz w:val="20"/>
          <w:szCs w:val="20"/>
          <w:bdr w:val="none" w:sz="0" w:space="0" w:color="auto" w:frame="1"/>
          <w:lang w:eastAsia="nl-NL"/>
        </w:rPr>
        <w:t>In Nederland wonen twee miljoen mensen met een familiegeschiedenis in het voormalige Nederlands-Indië. Wat maakten families daar mee tijdens en na de Tweede Wereldoorlog? De tentoonstelling </w:t>
      </w:r>
      <w:r w:rsidRPr="00966ACD">
        <w:rPr>
          <w:rFonts w:ascii="Century Gothic" w:eastAsia="Times New Roman" w:hAnsi="Century Gothic" w:cs="Calibri"/>
          <w:i/>
          <w:iCs/>
          <w:color w:val="323130"/>
          <w:sz w:val="20"/>
          <w:szCs w:val="20"/>
          <w:bdr w:val="none" w:sz="0" w:space="0" w:color="auto" w:frame="1"/>
          <w:lang w:eastAsia="nl-NL"/>
        </w:rPr>
        <w:t>Getekend. Persoonlijke verhalen over de Japanse bezetting</w:t>
      </w:r>
      <w:r w:rsidRPr="00966ACD">
        <w:rPr>
          <w:rFonts w:ascii="Century Gothic" w:eastAsia="Times New Roman" w:hAnsi="Century Gothic" w:cs="Calibri"/>
          <w:color w:val="323130"/>
          <w:sz w:val="20"/>
          <w:szCs w:val="20"/>
          <w:bdr w:val="none" w:sz="0" w:space="0" w:color="auto" w:frame="1"/>
          <w:lang w:eastAsia="nl-NL"/>
        </w:rPr>
        <w:t> brengt hun ervaringen dichterbij door herinneringen en verhalen te verbinden aan tekeningen en voorwerpen. Opvallend daarbij is de veerkracht van mensen. Je voelt de overlevingsdrang, verbaast je over de kunstzinnigheid in zware omstandigheden. De tekeningen zijn niet alleen getuigenissen van brute ervaringen en extreme situaties, maar waren destijds ook een middel voor zingeving te midden van uitzichtloosheid.</w:t>
      </w:r>
    </w:p>
    <w:p w14:paraId="4F2D7128"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color w:val="323130"/>
          <w:sz w:val="20"/>
          <w:szCs w:val="20"/>
          <w:bdr w:val="none" w:sz="0" w:space="0" w:color="auto" w:frame="1"/>
          <w:lang w:eastAsia="nl-NL"/>
        </w:rPr>
        <w:t> </w:t>
      </w:r>
    </w:p>
    <w:p w14:paraId="1D5AF7A8"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color w:val="323130"/>
          <w:sz w:val="20"/>
          <w:szCs w:val="20"/>
          <w:bdr w:val="none" w:sz="0" w:space="0" w:color="auto" w:frame="1"/>
          <w:lang w:eastAsia="nl-NL"/>
        </w:rPr>
        <w:t xml:space="preserve">Te zien is onder meer een selectie van meer dan vijftig tekeningen die vanaf 3 juli wordt vervangen door een nieuwe selectie. Naast prachtig werk van onder anderen Charles </w:t>
      </w:r>
      <w:proofErr w:type="spellStart"/>
      <w:r w:rsidRPr="00966ACD">
        <w:rPr>
          <w:rFonts w:ascii="Century Gothic" w:eastAsia="Times New Roman" w:hAnsi="Century Gothic" w:cs="Calibri"/>
          <w:color w:val="323130"/>
          <w:sz w:val="20"/>
          <w:szCs w:val="20"/>
          <w:bdr w:val="none" w:sz="0" w:space="0" w:color="auto" w:frame="1"/>
          <w:lang w:eastAsia="nl-NL"/>
        </w:rPr>
        <w:t>Burki</w:t>
      </w:r>
      <w:proofErr w:type="spellEnd"/>
      <w:r w:rsidRPr="00966ACD">
        <w:rPr>
          <w:rFonts w:ascii="Century Gothic" w:eastAsia="Times New Roman" w:hAnsi="Century Gothic" w:cs="Calibri"/>
          <w:color w:val="323130"/>
          <w:sz w:val="20"/>
          <w:szCs w:val="20"/>
          <w:bdr w:val="none" w:sz="0" w:space="0" w:color="auto" w:frame="1"/>
          <w:lang w:eastAsia="nl-NL"/>
        </w:rPr>
        <w:t xml:space="preserve">, Frida Holleman, Pim van </w:t>
      </w:r>
      <w:proofErr w:type="spellStart"/>
      <w:r w:rsidRPr="00966ACD">
        <w:rPr>
          <w:rFonts w:ascii="Century Gothic" w:eastAsia="Times New Roman" w:hAnsi="Century Gothic" w:cs="Calibri"/>
          <w:color w:val="323130"/>
          <w:sz w:val="20"/>
          <w:szCs w:val="20"/>
          <w:bdr w:val="none" w:sz="0" w:space="0" w:color="auto" w:frame="1"/>
          <w:lang w:eastAsia="nl-NL"/>
        </w:rPr>
        <w:t>Boxsel</w:t>
      </w:r>
      <w:proofErr w:type="spellEnd"/>
      <w:r w:rsidRPr="00966ACD">
        <w:rPr>
          <w:rFonts w:ascii="Century Gothic" w:eastAsia="Times New Roman" w:hAnsi="Century Gothic" w:cs="Calibri"/>
          <w:color w:val="323130"/>
          <w:sz w:val="20"/>
          <w:szCs w:val="20"/>
          <w:bdr w:val="none" w:sz="0" w:space="0" w:color="auto" w:frame="1"/>
          <w:lang w:eastAsia="nl-NL"/>
        </w:rPr>
        <w:t xml:space="preserve"> en Johan Gabrielse, gemaakt in Japanse concentratiekampen, vind je unieke voorwerpen zoals een biels van de Birma-spoorlijn, een in gevangenschap gemaakte viool en een pet en regenjas van Kees van Houten, die hij van een Japanse soldaat kreeg nadat hij door de atoombom op Nagasaki al zijn kleding was verloren.</w:t>
      </w:r>
    </w:p>
    <w:p w14:paraId="45DB9FA1"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color w:val="323130"/>
          <w:sz w:val="20"/>
          <w:szCs w:val="20"/>
          <w:bdr w:val="none" w:sz="0" w:space="0" w:color="auto" w:frame="1"/>
          <w:lang w:eastAsia="nl-NL"/>
        </w:rPr>
        <w:t> </w:t>
      </w:r>
    </w:p>
    <w:p w14:paraId="1587B4CA"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color w:val="323130"/>
          <w:sz w:val="20"/>
          <w:szCs w:val="20"/>
          <w:bdr w:val="none" w:sz="0" w:space="0" w:color="auto" w:frame="1"/>
          <w:lang w:eastAsia="nl-NL"/>
        </w:rPr>
        <w:t xml:space="preserve">De tentoonstelling, waarin thema’s aan bod komen zoals de inval van Japan, internering, buitenkampers, de Birma-spoorlijn, de atoombom op Nagasaki, </w:t>
      </w:r>
      <w:proofErr w:type="spellStart"/>
      <w:r w:rsidRPr="00966ACD">
        <w:rPr>
          <w:rFonts w:ascii="Century Gothic" w:eastAsia="Times New Roman" w:hAnsi="Century Gothic" w:cs="Calibri"/>
          <w:color w:val="323130"/>
          <w:sz w:val="20"/>
          <w:szCs w:val="20"/>
          <w:bdr w:val="none" w:sz="0" w:space="0" w:color="auto" w:frame="1"/>
          <w:lang w:eastAsia="nl-NL"/>
        </w:rPr>
        <w:t>Bersiap</w:t>
      </w:r>
      <w:proofErr w:type="spellEnd"/>
      <w:r w:rsidRPr="00966ACD">
        <w:rPr>
          <w:rFonts w:ascii="Century Gothic" w:eastAsia="Times New Roman" w:hAnsi="Century Gothic" w:cs="Calibri"/>
          <w:color w:val="323130"/>
          <w:sz w:val="20"/>
          <w:szCs w:val="20"/>
          <w:bdr w:val="none" w:sz="0" w:space="0" w:color="auto" w:frame="1"/>
          <w:lang w:eastAsia="nl-NL"/>
        </w:rPr>
        <w:t xml:space="preserve"> en repatriëring, is toegankelijk gemaakt voor een breed publiek met onder meer een introductiefilm, audioguide en aanraakbare replica’s van voorwerpen. De audioguide maakt het mogelijk om te wisselen tussen het perspectief van kinderen, vrouwen en mannen. Er zijn daarnaast </w:t>
      </w:r>
      <w:hyperlink r:id="rId9" w:tgtFrame="_blank" w:history="1">
        <w:r w:rsidRPr="00966ACD">
          <w:rPr>
            <w:rFonts w:ascii="Century Gothic" w:eastAsia="Times New Roman" w:hAnsi="Century Gothic" w:cs="Calibri"/>
            <w:color w:val="0000FF"/>
            <w:sz w:val="20"/>
            <w:szCs w:val="20"/>
            <w:u w:val="single"/>
            <w:bdr w:val="none" w:sz="0" w:space="0" w:color="auto" w:frame="1"/>
            <w:lang w:eastAsia="nl-NL"/>
          </w:rPr>
          <w:t>diverse rondleidingen</w:t>
        </w:r>
      </w:hyperlink>
      <w:r w:rsidRPr="00966ACD">
        <w:rPr>
          <w:rFonts w:ascii="Century Gothic" w:eastAsia="Times New Roman" w:hAnsi="Century Gothic" w:cs="Calibri"/>
          <w:color w:val="323130"/>
          <w:sz w:val="20"/>
          <w:szCs w:val="20"/>
          <w:bdr w:val="none" w:sz="0" w:space="0" w:color="auto" w:frame="1"/>
          <w:lang w:eastAsia="nl-NL"/>
        </w:rPr>
        <w:t>, ook speciaal voor blinden en slechtzienden.</w:t>
      </w:r>
    </w:p>
    <w:p w14:paraId="122F5FEF"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color w:val="323130"/>
          <w:sz w:val="20"/>
          <w:szCs w:val="20"/>
          <w:bdr w:val="none" w:sz="0" w:space="0" w:color="auto" w:frame="1"/>
          <w:lang w:eastAsia="nl-NL"/>
        </w:rPr>
        <w:t> </w:t>
      </w:r>
    </w:p>
    <w:p w14:paraId="3E80104B"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color w:val="323130"/>
          <w:sz w:val="20"/>
          <w:szCs w:val="20"/>
          <w:bdr w:val="none" w:sz="0" w:space="0" w:color="auto" w:frame="1"/>
          <w:lang w:eastAsia="nl-NL"/>
        </w:rPr>
        <w:t xml:space="preserve">Deze tentoonstelling is voor </w:t>
      </w:r>
      <w:proofErr w:type="spellStart"/>
      <w:r w:rsidRPr="00966ACD">
        <w:rPr>
          <w:rFonts w:ascii="Century Gothic" w:eastAsia="Times New Roman" w:hAnsi="Century Gothic" w:cs="Calibri"/>
          <w:color w:val="323130"/>
          <w:sz w:val="20"/>
          <w:szCs w:val="20"/>
          <w:bdr w:val="none" w:sz="0" w:space="0" w:color="auto" w:frame="1"/>
          <w:lang w:eastAsia="nl-NL"/>
        </w:rPr>
        <w:t>Museon</w:t>
      </w:r>
      <w:proofErr w:type="spellEnd"/>
      <w:r w:rsidRPr="00966ACD">
        <w:rPr>
          <w:rFonts w:ascii="Century Gothic" w:eastAsia="Times New Roman" w:hAnsi="Century Gothic" w:cs="Calibri"/>
          <w:color w:val="323130"/>
          <w:sz w:val="20"/>
          <w:szCs w:val="20"/>
          <w:bdr w:val="none" w:sz="0" w:space="0" w:color="auto" w:frame="1"/>
          <w:lang w:eastAsia="nl-NL"/>
        </w:rPr>
        <w:t xml:space="preserve"> het startpunt van een jaar vol activiteiten en exposities in het kader van 75 Jaar Vrijheid en 75 Jaar VN, waarbij het museum onder meer samenwerkt met de Stichting Nationale Herdenking 15 Augustus 1945. </w:t>
      </w:r>
      <w:r w:rsidRPr="00966ACD">
        <w:rPr>
          <w:rFonts w:ascii="Century Gothic" w:eastAsia="Times New Roman" w:hAnsi="Century Gothic" w:cs="Calibri"/>
          <w:i/>
          <w:iCs/>
          <w:color w:val="323130"/>
          <w:sz w:val="20"/>
          <w:szCs w:val="20"/>
          <w:bdr w:val="none" w:sz="0" w:space="0" w:color="auto" w:frame="1"/>
          <w:lang w:eastAsia="nl-NL"/>
        </w:rPr>
        <w:t>Getekend. Persoonlijke verhalen over de Japanse bezetting</w:t>
      </w:r>
      <w:r w:rsidRPr="00966ACD">
        <w:rPr>
          <w:rFonts w:ascii="Century Gothic" w:eastAsia="Times New Roman" w:hAnsi="Century Gothic" w:cs="Calibri"/>
          <w:color w:val="323130"/>
          <w:sz w:val="20"/>
          <w:szCs w:val="20"/>
          <w:bdr w:val="none" w:sz="0" w:space="0" w:color="auto" w:frame="1"/>
          <w:lang w:eastAsia="nl-NL"/>
        </w:rPr>
        <w:t> kwam tot stand dankzij bijdragen van het Ministerie van VWS, de gemeente Den Haag en de RAAK Stimuleringsprijs.</w:t>
      </w:r>
    </w:p>
    <w:p w14:paraId="51FDD720" w14:textId="77777777" w:rsidR="00966ACD" w:rsidRPr="00966ACD" w:rsidRDefault="00966ACD" w:rsidP="00966ACD">
      <w:pPr>
        <w:shd w:val="clear" w:color="auto" w:fill="FFFFFF"/>
        <w:spacing w:after="0" w:line="240" w:lineRule="auto"/>
        <w:rPr>
          <w:rFonts w:ascii="Calibri" w:eastAsia="Times New Roman" w:hAnsi="Calibri" w:cs="Calibri"/>
          <w:color w:val="323130"/>
          <w:lang w:eastAsia="nl-NL"/>
        </w:rPr>
      </w:pPr>
      <w:r w:rsidRPr="00966ACD">
        <w:rPr>
          <w:rFonts w:ascii="Century Gothic" w:eastAsia="Times New Roman" w:hAnsi="Century Gothic" w:cs="Calibri"/>
          <w:color w:val="323130"/>
          <w:sz w:val="20"/>
          <w:szCs w:val="20"/>
          <w:bdr w:val="none" w:sz="0" w:space="0" w:color="auto" w:frame="1"/>
          <w:lang w:eastAsia="nl-NL"/>
        </w:rPr>
        <w:t> </w:t>
      </w:r>
    </w:p>
    <w:p w14:paraId="24FD614D" w14:textId="7E9D285E" w:rsidR="00966ACD" w:rsidRPr="00B069C0" w:rsidRDefault="00966ACD" w:rsidP="00966ACD">
      <w:pPr>
        <w:shd w:val="clear" w:color="auto" w:fill="FFFFFF"/>
        <w:spacing w:after="0" w:line="240" w:lineRule="auto"/>
        <w:rPr>
          <w:rFonts w:ascii="Calibri" w:eastAsia="Times New Roman" w:hAnsi="Calibri" w:cs="Calibri"/>
          <w:color w:val="323130"/>
          <w:lang w:eastAsia="nl-NL"/>
        </w:rPr>
      </w:pPr>
      <w:proofErr w:type="spellStart"/>
      <w:r w:rsidRPr="00966ACD">
        <w:rPr>
          <w:rFonts w:ascii="Century Gothic" w:eastAsia="Times New Roman" w:hAnsi="Century Gothic" w:cs="Calibri"/>
          <w:b/>
          <w:bCs/>
          <w:color w:val="002060"/>
          <w:sz w:val="20"/>
          <w:szCs w:val="20"/>
          <w:bdr w:val="none" w:sz="0" w:space="0" w:color="auto" w:frame="1"/>
          <w:lang w:eastAsia="nl-NL"/>
        </w:rPr>
        <w:t>Museon</w:t>
      </w:r>
      <w:proofErr w:type="spellEnd"/>
      <w:r w:rsidRPr="00966ACD">
        <w:rPr>
          <w:rFonts w:ascii="Century Gothic" w:eastAsia="Times New Roman" w:hAnsi="Century Gothic" w:cs="Calibri"/>
          <w:b/>
          <w:bCs/>
          <w:color w:val="002060"/>
          <w:sz w:val="20"/>
          <w:szCs w:val="20"/>
          <w:bdr w:val="none" w:sz="0" w:space="0" w:color="auto" w:frame="1"/>
          <w:lang w:eastAsia="nl-NL"/>
        </w:rPr>
        <w:t xml:space="preserve">, </w:t>
      </w:r>
      <w:proofErr w:type="spellStart"/>
      <w:r w:rsidRPr="00966ACD">
        <w:rPr>
          <w:rFonts w:ascii="Century Gothic" w:eastAsia="Times New Roman" w:hAnsi="Century Gothic" w:cs="Calibri"/>
          <w:b/>
          <w:bCs/>
          <w:color w:val="002060"/>
          <w:sz w:val="20"/>
          <w:szCs w:val="20"/>
          <w:bdr w:val="none" w:sz="0" w:space="0" w:color="auto" w:frame="1"/>
          <w:lang w:eastAsia="nl-NL"/>
        </w:rPr>
        <w:t>Stadhouderslaan</w:t>
      </w:r>
      <w:proofErr w:type="spellEnd"/>
      <w:r w:rsidRPr="00966ACD">
        <w:rPr>
          <w:rFonts w:ascii="Century Gothic" w:eastAsia="Times New Roman" w:hAnsi="Century Gothic" w:cs="Calibri"/>
          <w:b/>
          <w:bCs/>
          <w:color w:val="002060"/>
          <w:sz w:val="20"/>
          <w:szCs w:val="20"/>
          <w:bdr w:val="none" w:sz="0" w:space="0" w:color="auto" w:frame="1"/>
          <w:lang w:eastAsia="nl-NL"/>
        </w:rPr>
        <w:t xml:space="preserve"> 37, Den Haag</w:t>
      </w:r>
      <w:bookmarkStart w:id="0" w:name="_GoBack"/>
      <w:bookmarkEnd w:id="0"/>
    </w:p>
    <w:p w14:paraId="278A987F" w14:textId="77777777" w:rsidR="00966ACD" w:rsidRPr="00B069C0" w:rsidRDefault="00966ACD" w:rsidP="00966ACD">
      <w:pPr>
        <w:shd w:val="clear" w:color="auto" w:fill="FFFFFF"/>
        <w:spacing w:after="0" w:line="240" w:lineRule="auto"/>
        <w:rPr>
          <w:rFonts w:ascii="Calibri" w:eastAsia="Times New Roman" w:hAnsi="Calibri" w:cs="Calibri"/>
          <w:color w:val="323130"/>
          <w:lang w:val="en-US" w:eastAsia="nl-NL"/>
        </w:rPr>
      </w:pPr>
      <w:r w:rsidRPr="00B069C0">
        <w:rPr>
          <w:rFonts w:ascii="Century Gothic" w:eastAsia="Times New Roman" w:hAnsi="Century Gothic" w:cs="Calibri"/>
          <w:color w:val="323130"/>
          <w:sz w:val="20"/>
          <w:szCs w:val="20"/>
          <w:bdr w:val="none" w:sz="0" w:space="0" w:color="auto" w:frame="1"/>
          <w:lang w:val="en-US" w:eastAsia="nl-NL"/>
        </w:rPr>
        <w:lastRenderedPageBreak/>
        <w:t> </w:t>
      </w:r>
    </w:p>
    <w:p w14:paraId="0B090B98" w14:textId="77777777" w:rsidR="00127C41" w:rsidRDefault="00966ACD" w:rsidP="00966ACD">
      <w:r w:rsidRPr="00966ACD">
        <w:rPr>
          <w:noProof/>
        </w:rPr>
        <w:drawing>
          <wp:inline distT="0" distB="0" distL="0" distR="0" wp14:anchorId="075CD54F" wp14:editId="0F6FE449">
            <wp:extent cx="3048000" cy="4328160"/>
            <wp:effectExtent l="0" t="0" r="0" b="0"/>
            <wp:docPr id="1" name="Afbeelding 1" descr="C:\Users\PBouman\AppData\Local\Microsoft\Windows\INetCache\Content.MSO\E32313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ouman\AppData\Local\Microsoft\Windows\INetCache\Content.MSO\E323131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4328160"/>
                    </a:xfrm>
                    <a:prstGeom prst="rect">
                      <a:avLst/>
                    </a:prstGeom>
                    <a:noFill/>
                    <a:ln>
                      <a:noFill/>
                    </a:ln>
                  </pic:spPr>
                </pic:pic>
              </a:graphicData>
            </a:graphic>
          </wp:inline>
        </w:drawing>
      </w:r>
    </w:p>
    <w:sectPr w:rsidR="00127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CD"/>
    <w:rsid w:val="00127C41"/>
    <w:rsid w:val="0017026B"/>
    <w:rsid w:val="00966ACD"/>
    <w:rsid w:val="00B06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C964"/>
  <w15:chartTrackingRefBased/>
  <w15:docId w15:val="{4E42792C-B61C-4DC0-94B8-DF1A3BD7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6A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66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museon.nl/nl/rondleidin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1" ma:contentTypeDescription="Een nieuw document maken." ma:contentTypeScope="" ma:versionID="0669f77be589363e1e60862197c56791">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6e67c0f73ab5daa8180801cc41cca5b2"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D1FD9-2979-4521-A14C-D8BB2B434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34547-A2CB-4328-9228-C2D2D9561637}">
  <ds:schemaRefs>
    <ds:schemaRef ds:uri="http://purl.org/dc/terms/"/>
    <ds:schemaRef ds:uri="http://schemas.openxmlformats.org/package/2006/metadata/core-properties"/>
    <ds:schemaRef ds:uri="http://purl.org/dc/dcmitype/"/>
    <ds:schemaRef ds:uri="e9dfbded-96d9-457b-828d-eb05914a456c"/>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3bc170a2-6ec2-4f1f-8c44-83ae3ca9df19"/>
  </ds:schemaRefs>
</ds:datastoreItem>
</file>

<file path=customXml/itemProps3.xml><?xml version="1.0" encoding="utf-8"?>
<ds:datastoreItem xmlns:ds="http://schemas.openxmlformats.org/officeDocument/2006/customXml" ds:itemID="{205B34D1-F9E5-4441-9A92-D545EA2C3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2</cp:revision>
  <dcterms:created xsi:type="dcterms:W3CDTF">2020-02-25T10:54:00Z</dcterms:created>
  <dcterms:modified xsi:type="dcterms:W3CDTF">2020-02-25T10:54:00Z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